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131841">
        <w:t>ДОУ «Шахтёрский детский сад №25 с.Петропавловка»</w:t>
      </w:r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 w:rsidR="00131841">
        <w:t>разновозрастной</w:t>
      </w:r>
      <w:r>
        <w:t xml:space="preserve"> </w:t>
      </w:r>
      <w:r w:rsidR="00131841">
        <w:t>группе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</w:t>
      </w:r>
      <w:r w:rsidR="00131841">
        <w:t>ы</w:t>
      </w:r>
      <w:r>
        <w:t xml:space="preserve">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</w:t>
      </w:r>
      <w:r w:rsidR="00131841">
        <w:t>тельностью. Вся мебель в группе</w:t>
      </w:r>
      <w: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131841">
      <w:pPr>
        <w:pStyle w:val="20"/>
        <w:shd w:val="clear" w:color="auto" w:fill="auto"/>
        <w:spacing w:before="0" w:line="370" w:lineRule="exact"/>
        <w:ind w:firstLine="740"/>
      </w:pPr>
      <w:r>
        <w:t>В группае размещен</w:t>
      </w:r>
      <w:r w:rsidR="00467E18">
        <w:t xml:space="preserve"> угол</w:t>
      </w:r>
      <w:r>
        <w:t>к</w:t>
      </w:r>
      <w:r w:rsidR="00C4214E">
        <w:t xml:space="preserve"> физического развития, целью которого является развитие двигательной активности и физических качеств детей. Предметное наполнение уголка применяе</w:t>
      </w:r>
      <w:r>
        <w:t>тся в подвижных играх (в группе</w:t>
      </w:r>
      <w:r w:rsidR="00C4214E">
        <w:t xml:space="preserve">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</w:t>
      </w:r>
      <w:r w:rsidR="00131841">
        <w:t>ы</w:t>
      </w:r>
      <w:r>
        <w:t xml:space="preserve">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Заведу</w:t>
      </w:r>
      <w:r w:rsidR="00131841">
        <w:t>ющий ____________В.П.Любаковская</w:t>
      </w:r>
    </w:p>
    <w:p w:rsidR="00D246D9" w:rsidRDefault="00131841" w:rsidP="00890E5B">
      <w:pPr>
        <w:pStyle w:val="20"/>
        <w:shd w:val="clear" w:color="auto" w:fill="auto"/>
        <w:spacing w:before="0" w:after="329"/>
        <w:ind w:firstLine="620"/>
      </w:pPr>
      <w:r>
        <w:t>Воспитатели ____________Л.И.Новикова</w:t>
      </w:r>
    </w:p>
    <w:p w:rsidR="00D246D9" w:rsidRPr="00890E5B" w:rsidRDefault="00D246D9" w:rsidP="00890E5B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  <w:r>
        <w:t xml:space="preserve">                 </w:t>
      </w:r>
      <w:r w:rsidR="00131841">
        <w:t xml:space="preserve">      ____________О.В.Новикова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DD" w:rsidRDefault="007921DD" w:rsidP="002C223A">
      <w:r>
        <w:separator/>
      </w:r>
    </w:p>
  </w:endnote>
  <w:endnote w:type="continuationSeparator" w:id="1">
    <w:p w:rsidR="007921DD" w:rsidRDefault="007921DD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DD" w:rsidRDefault="007921DD"/>
  </w:footnote>
  <w:footnote w:type="continuationSeparator" w:id="1">
    <w:p w:rsidR="007921DD" w:rsidRDefault="007921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223A"/>
    <w:rsid w:val="00131841"/>
    <w:rsid w:val="001C5E18"/>
    <w:rsid w:val="00295FDB"/>
    <w:rsid w:val="002C223A"/>
    <w:rsid w:val="00467E18"/>
    <w:rsid w:val="00695E1E"/>
    <w:rsid w:val="0071791F"/>
    <w:rsid w:val="007921DD"/>
    <w:rsid w:val="00890E5B"/>
    <w:rsid w:val="00A5115E"/>
    <w:rsid w:val="00C167FB"/>
    <w:rsid w:val="00C4214E"/>
    <w:rsid w:val="00D2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ВА</cp:lastModifiedBy>
  <cp:revision>5</cp:revision>
  <dcterms:created xsi:type="dcterms:W3CDTF">2022-12-26T07:17:00Z</dcterms:created>
  <dcterms:modified xsi:type="dcterms:W3CDTF">2024-01-24T19:47:00Z</dcterms:modified>
</cp:coreProperties>
</file>